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w:t>
      </w:r>
      <w:r w:rsidR="002B46DF">
        <w:rPr>
          <w:rFonts w:ascii="Arial" w:eastAsia="宋体" w:hAnsi="Arial" w:cs="Arial"/>
          <w:b/>
          <w:sz w:val="24"/>
          <w:lang w:eastAsia="zh-CN"/>
        </w:rPr>
        <w:t>b</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9C1EE9">
        <w:rPr>
          <w:rFonts w:ascii="Arial" w:eastAsia="宋体" w:hAnsi="Arial"/>
          <w:b/>
          <w:sz w:val="24"/>
          <w:lang w:eastAsia="zh-CN"/>
        </w:rPr>
        <w:t>3953</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w:t>
      </w:r>
      <w:r w:rsidR="002B46DF">
        <w:rPr>
          <w:rFonts w:ascii="Arial" w:eastAsia="宋体" w:hAnsi="Arial"/>
          <w:b/>
          <w:sz w:val="24"/>
          <w:lang w:eastAsia="zh-CN"/>
        </w:rPr>
        <w:t>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707604" w:rsidRPr="00707604">
        <w:rPr>
          <w:rFonts w:ascii="Arial" w:eastAsia="宋体" w:hAnsi="Arial"/>
          <w:b/>
          <w:sz w:val="24"/>
          <w:lang w:eastAsia="zh-CN"/>
        </w:rPr>
        <w:t xml:space="preserve"> - </w:t>
      </w:r>
      <w:r w:rsidR="002B46DF">
        <w:rPr>
          <w:rFonts w:ascii="Arial" w:eastAsia="宋体" w:hAnsi="Arial"/>
          <w:b/>
          <w:sz w:val="24"/>
          <w:lang w:eastAsia="zh-CN"/>
        </w:rPr>
        <w:t>30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0F43F3">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D0190E">
        <w:rPr>
          <w:rFonts w:eastAsia="宋体"/>
          <w:sz w:val="24"/>
          <w:lang w:val="en-US" w:eastAsia="zh-CN"/>
        </w:rPr>
        <w:t>Further discussion on Tx switching between two uplink carriers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D0190E">
        <w:rPr>
          <w:rFonts w:eastAsia="宋体"/>
          <w:sz w:val="24"/>
          <w:lang w:val="en-US" w:eastAsia="zh-CN"/>
        </w:rPr>
        <w:t>6</w:t>
      </w:r>
      <w:r w:rsidR="00722CE4">
        <w:rPr>
          <w:rFonts w:eastAsia="宋体"/>
          <w:sz w:val="24"/>
          <w:lang w:val="en-US" w:eastAsia="zh-CN"/>
        </w:rPr>
        <w:t>.</w:t>
      </w:r>
      <w:r w:rsidR="00D0190E">
        <w:rPr>
          <w:rFonts w:eastAsia="宋体"/>
          <w:sz w:val="24"/>
          <w:lang w:val="en-US" w:eastAsia="zh-CN"/>
        </w:rPr>
        <w:t>13</w:t>
      </w:r>
      <w:r w:rsidR="00722CE4">
        <w:rPr>
          <w:rFonts w:eastAsia="宋体"/>
          <w:sz w:val="24"/>
          <w:lang w:val="en-US" w:eastAsia="zh-CN"/>
        </w:rPr>
        <w:t>.</w:t>
      </w:r>
      <w:r w:rsidR="00D0190E">
        <w:rPr>
          <w:rFonts w:eastAsia="宋体"/>
          <w:sz w:val="24"/>
          <w:lang w:val="en-US" w:eastAsia="zh-CN"/>
        </w:rPr>
        <w:t>1.5</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722CE4">
        <w:rPr>
          <w:rFonts w:eastAsia="宋体"/>
          <w:sz w:val="24"/>
          <w:lang w:val="en-US" w:eastAsia="zh-CN"/>
        </w:rPr>
        <w:t>Dis</w:t>
      </w:r>
      <w:r w:rsidR="00115B33">
        <w:rPr>
          <w:rFonts w:eastAsia="宋体"/>
          <w:sz w:val="24"/>
          <w:lang w:val="en-US" w:eastAsia="zh-CN"/>
        </w:rPr>
        <w:t>cu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3253B0"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RAN4#94-e, a WF was agreed for Tx switching between two uplink carriers [1]</w:t>
      </w:r>
      <w:r w:rsidR="003845B4">
        <w:rPr>
          <w:rFonts w:eastAsia="宋体"/>
          <w:sz w:val="21"/>
          <w:szCs w:val="21"/>
          <w:lang w:val="en-US" w:eastAsia="zh-CN"/>
        </w:rPr>
        <w:t>.</w:t>
      </w:r>
      <w:r>
        <w:rPr>
          <w:rFonts w:eastAsia="宋体"/>
          <w:sz w:val="21"/>
          <w:szCs w:val="21"/>
          <w:lang w:val="en-US" w:eastAsia="zh-CN"/>
        </w:rPr>
        <w:t xml:space="preserve"> There are strong concerns on how to capture the existing relevant agreements into specs. In particular, for the agreements on rank adaption and power class:</w:t>
      </w:r>
    </w:p>
    <w:p w:rsidR="00670B13" w:rsidRDefault="00670B13" w:rsidP="006F7C9D">
      <w:pPr>
        <w:pStyle w:val="BodyText"/>
        <w:tabs>
          <w:tab w:val="num" w:pos="226"/>
          <w:tab w:val="num" w:pos="284"/>
          <w:tab w:val="left" w:pos="5103"/>
        </w:tabs>
        <w:snapToGrid w:val="0"/>
        <w:spacing w:beforeLines="50" w:before="156"/>
        <w:rPr>
          <w:rFonts w:eastAsia="宋体"/>
          <w:sz w:val="21"/>
          <w:szCs w:val="21"/>
          <w:lang w:val="en-US" w:eastAsia="zh-CN"/>
        </w:rPr>
      </w:pPr>
    </w:p>
    <w:tbl>
      <w:tblPr>
        <w:tblStyle w:val="TableGrid"/>
        <w:tblW w:w="0" w:type="auto"/>
        <w:tblLook w:val="04A0" w:firstRow="1" w:lastRow="0" w:firstColumn="1" w:lastColumn="0" w:noHBand="0" w:noVBand="1"/>
      </w:tblPr>
      <w:tblGrid>
        <w:gridCol w:w="9288"/>
      </w:tblGrid>
      <w:tr w:rsidR="00517A56" w:rsidTr="00517A56">
        <w:tc>
          <w:tcPr>
            <w:tcW w:w="9288" w:type="dxa"/>
          </w:tcPr>
          <w:p w:rsidR="00F84DC6" w:rsidRPr="003253B0" w:rsidRDefault="00A92BE5" w:rsidP="003253B0">
            <w:pPr>
              <w:numPr>
                <w:ilvl w:val="0"/>
                <w:numId w:val="30"/>
              </w:numPr>
              <w:overflowPunct w:val="0"/>
              <w:autoSpaceDE w:val="0"/>
              <w:autoSpaceDN w:val="0"/>
              <w:adjustRightInd w:val="0"/>
              <w:jc w:val="both"/>
              <w:textAlignment w:val="baseline"/>
              <w:rPr>
                <w:rFonts w:eastAsia="宋体"/>
                <w:i/>
                <w:sz w:val="21"/>
                <w:szCs w:val="21"/>
                <w:lang w:eastAsia="zh-CN"/>
              </w:rPr>
            </w:pPr>
            <w:r w:rsidRPr="003253B0">
              <w:rPr>
                <w:rFonts w:eastAsia="宋体"/>
                <w:i/>
                <w:sz w:val="21"/>
                <w:szCs w:val="21"/>
                <w:lang w:eastAsia="zh-CN"/>
              </w:rPr>
              <w:t>Rank adaptation</w:t>
            </w:r>
          </w:p>
          <w:p w:rsidR="00F84DC6" w:rsidRPr="003253B0" w:rsidRDefault="00A92BE5" w:rsidP="003253B0">
            <w:pPr>
              <w:numPr>
                <w:ilvl w:val="1"/>
                <w:numId w:val="30"/>
              </w:numPr>
              <w:overflowPunct w:val="0"/>
              <w:autoSpaceDE w:val="0"/>
              <w:autoSpaceDN w:val="0"/>
              <w:adjustRightInd w:val="0"/>
              <w:jc w:val="both"/>
              <w:textAlignment w:val="baseline"/>
              <w:rPr>
                <w:rFonts w:eastAsia="宋体"/>
                <w:i/>
                <w:sz w:val="21"/>
                <w:szCs w:val="21"/>
                <w:lang w:eastAsia="zh-CN"/>
              </w:rPr>
            </w:pPr>
            <w:r w:rsidRPr="003253B0">
              <w:rPr>
                <w:rFonts w:eastAsia="宋体"/>
                <w:i/>
                <w:sz w:val="21"/>
                <w:szCs w:val="21"/>
                <w:lang w:val="en-GB" w:eastAsia="zh-CN"/>
              </w:rPr>
              <w:t>Capture the following RAN4 #93 agreement as normative text in 38.101-1 and 38.101-3</w:t>
            </w:r>
          </w:p>
          <w:p w:rsidR="00F84DC6" w:rsidRPr="003253B0" w:rsidRDefault="00A92BE5" w:rsidP="003253B0">
            <w:pPr>
              <w:numPr>
                <w:ilvl w:val="2"/>
                <w:numId w:val="30"/>
              </w:numPr>
              <w:overflowPunct w:val="0"/>
              <w:autoSpaceDE w:val="0"/>
              <w:autoSpaceDN w:val="0"/>
              <w:adjustRightInd w:val="0"/>
              <w:jc w:val="both"/>
              <w:textAlignment w:val="baseline"/>
              <w:rPr>
                <w:rFonts w:eastAsia="宋体"/>
                <w:i/>
                <w:sz w:val="21"/>
                <w:szCs w:val="21"/>
                <w:lang w:eastAsia="zh-CN"/>
              </w:rPr>
            </w:pPr>
            <w:r w:rsidRPr="003253B0">
              <w:rPr>
                <w:rFonts w:eastAsia="宋体"/>
                <w:i/>
                <w:sz w:val="21"/>
                <w:szCs w:val="21"/>
                <w:lang w:eastAsia="zh-CN"/>
              </w:rPr>
              <w:t>For UE supporting UL Tx switching, it is mandated to support 2-layer UL-MIMO transmission and single-layer transmission on carrier 2 following the BS scheduling and rank adaptation (if rank adaptation is applicable).</w:t>
            </w:r>
          </w:p>
          <w:p w:rsidR="00517A56" w:rsidRPr="003253B0" w:rsidRDefault="00517A56" w:rsidP="009B2891">
            <w:pPr>
              <w:overflowPunct w:val="0"/>
              <w:autoSpaceDE w:val="0"/>
              <w:autoSpaceDN w:val="0"/>
              <w:adjustRightInd w:val="0"/>
              <w:ind w:left="560"/>
              <w:jc w:val="both"/>
              <w:textAlignment w:val="baseline"/>
              <w:rPr>
                <w:rFonts w:eastAsia="宋体"/>
                <w:i/>
                <w:sz w:val="21"/>
                <w:szCs w:val="21"/>
                <w:lang w:eastAsia="zh-CN"/>
              </w:rPr>
            </w:pPr>
          </w:p>
          <w:p w:rsidR="00F84DC6" w:rsidRPr="003253B0" w:rsidRDefault="00A92BE5" w:rsidP="003253B0">
            <w:pPr>
              <w:numPr>
                <w:ilvl w:val="0"/>
                <w:numId w:val="31"/>
              </w:numPr>
              <w:overflowPunct w:val="0"/>
              <w:autoSpaceDE w:val="0"/>
              <w:autoSpaceDN w:val="0"/>
              <w:adjustRightInd w:val="0"/>
              <w:jc w:val="both"/>
              <w:textAlignment w:val="baseline"/>
              <w:rPr>
                <w:rFonts w:eastAsia="宋体"/>
                <w:i/>
                <w:sz w:val="21"/>
                <w:szCs w:val="21"/>
                <w:lang w:eastAsia="zh-CN"/>
              </w:rPr>
            </w:pPr>
            <w:r w:rsidRPr="003253B0">
              <w:rPr>
                <w:rFonts w:eastAsia="宋体"/>
                <w:i/>
                <w:sz w:val="21"/>
                <w:szCs w:val="21"/>
                <w:lang w:eastAsia="zh-CN"/>
              </w:rPr>
              <w:t>Power class</w:t>
            </w:r>
          </w:p>
          <w:p w:rsidR="00F84DC6" w:rsidRPr="003253B0" w:rsidRDefault="00A92BE5" w:rsidP="003253B0">
            <w:pPr>
              <w:numPr>
                <w:ilvl w:val="1"/>
                <w:numId w:val="31"/>
              </w:numPr>
              <w:overflowPunct w:val="0"/>
              <w:autoSpaceDE w:val="0"/>
              <w:autoSpaceDN w:val="0"/>
              <w:adjustRightInd w:val="0"/>
              <w:jc w:val="both"/>
              <w:textAlignment w:val="baseline"/>
              <w:rPr>
                <w:rFonts w:eastAsia="宋体"/>
                <w:i/>
                <w:sz w:val="21"/>
                <w:szCs w:val="21"/>
                <w:lang w:eastAsia="zh-CN"/>
              </w:rPr>
            </w:pPr>
            <w:r w:rsidRPr="003253B0">
              <w:rPr>
                <w:rFonts w:eastAsia="宋体"/>
                <w:i/>
                <w:sz w:val="21"/>
                <w:szCs w:val="21"/>
                <w:lang w:val="en-GB" w:eastAsia="zh-CN"/>
              </w:rPr>
              <w:t xml:space="preserve">Capture </w:t>
            </w:r>
            <w:r w:rsidRPr="003253B0">
              <w:rPr>
                <w:rFonts w:eastAsia="宋体"/>
                <w:i/>
                <w:sz w:val="21"/>
                <w:szCs w:val="21"/>
                <w:lang w:eastAsia="zh-CN"/>
              </w:rPr>
              <w:t xml:space="preserve">the following </w:t>
            </w:r>
            <w:r w:rsidRPr="003253B0">
              <w:rPr>
                <w:rFonts w:eastAsia="宋体"/>
                <w:i/>
                <w:sz w:val="21"/>
                <w:szCs w:val="21"/>
                <w:lang w:val="en-GB" w:eastAsia="zh-CN"/>
              </w:rPr>
              <w:t xml:space="preserve">RAN4 #93 </w:t>
            </w:r>
            <w:r w:rsidRPr="003253B0">
              <w:rPr>
                <w:rFonts w:eastAsia="宋体"/>
                <w:i/>
                <w:sz w:val="21"/>
                <w:szCs w:val="21"/>
                <w:lang w:eastAsia="zh-CN"/>
              </w:rPr>
              <w:t>agreement on power class clarification in 38.101-1 and 38.101-3</w:t>
            </w:r>
          </w:p>
          <w:p w:rsidR="00F84DC6" w:rsidRPr="003253B0" w:rsidRDefault="00A92BE5" w:rsidP="003253B0">
            <w:pPr>
              <w:numPr>
                <w:ilvl w:val="2"/>
                <w:numId w:val="31"/>
              </w:numPr>
              <w:overflowPunct w:val="0"/>
              <w:autoSpaceDE w:val="0"/>
              <w:autoSpaceDN w:val="0"/>
              <w:adjustRightInd w:val="0"/>
              <w:jc w:val="both"/>
              <w:textAlignment w:val="baseline"/>
              <w:rPr>
                <w:rFonts w:eastAsia="宋体"/>
                <w:i/>
                <w:sz w:val="21"/>
                <w:szCs w:val="21"/>
                <w:lang w:eastAsia="zh-CN"/>
              </w:rPr>
            </w:pPr>
            <w:r w:rsidRPr="003253B0">
              <w:rPr>
                <w:rFonts w:eastAsia="宋体"/>
                <w:i/>
                <w:sz w:val="21"/>
                <w:szCs w:val="21"/>
                <w:lang w:val="en-GB" w:eastAsia="zh-CN"/>
              </w:rPr>
              <w:t xml:space="preserve">Power class declaration will NOT be changed between case 1 and case 2. </w:t>
            </w:r>
          </w:p>
          <w:p w:rsidR="003253B0" w:rsidRPr="003253B0" w:rsidRDefault="00A92BE5" w:rsidP="003253B0">
            <w:pPr>
              <w:numPr>
                <w:ilvl w:val="2"/>
                <w:numId w:val="31"/>
              </w:numPr>
              <w:overflowPunct w:val="0"/>
              <w:autoSpaceDE w:val="0"/>
              <w:autoSpaceDN w:val="0"/>
              <w:adjustRightInd w:val="0"/>
              <w:jc w:val="both"/>
              <w:textAlignment w:val="baseline"/>
              <w:rPr>
                <w:rFonts w:eastAsia="宋体"/>
                <w:sz w:val="21"/>
                <w:szCs w:val="21"/>
                <w:lang w:eastAsia="zh-CN"/>
              </w:rPr>
            </w:pPr>
            <w:r w:rsidRPr="003253B0">
              <w:rPr>
                <w:rFonts w:eastAsia="宋体"/>
                <w:i/>
                <w:sz w:val="21"/>
                <w:szCs w:val="21"/>
                <w:lang w:val="en-GB" w:eastAsia="zh-CN"/>
              </w:rPr>
              <w:t>Rel-16 power class sing</w:t>
            </w:r>
            <w:r w:rsidRPr="003253B0">
              <w:rPr>
                <w:rFonts w:eastAsia="宋体"/>
                <w:i/>
                <w:sz w:val="21"/>
                <w:szCs w:val="21"/>
                <w:lang w:eastAsia="zh-CN"/>
              </w:rPr>
              <w:t>a</w:t>
            </w:r>
            <w:r w:rsidRPr="003253B0">
              <w:rPr>
                <w:rFonts w:eastAsia="宋体"/>
                <w:i/>
                <w:sz w:val="21"/>
                <w:szCs w:val="21"/>
                <w:lang w:val="en-GB" w:eastAsia="zh-CN"/>
              </w:rPr>
              <w:t>ling will be followed for Tx switching between case 1 and case 2.</w:t>
            </w:r>
            <w:r w:rsidRPr="003253B0">
              <w:rPr>
                <w:rFonts w:eastAsia="宋体"/>
                <w:sz w:val="21"/>
                <w:szCs w:val="21"/>
                <w:lang w:val="en-GB" w:eastAsia="zh-CN"/>
              </w:rPr>
              <w:t xml:space="preserve"> </w:t>
            </w:r>
          </w:p>
        </w:tc>
      </w:tr>
    </w:tbl>
    <w:p w:rsidR="0019214A" w:rsidRPr="0019214A" w:rsidRDefault="008A51A3"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We understand that wording of the original agreements might have different interpretation, thus some clarification is needed, and the corresponding texts included into specs should be based on the clarification.</w:t>
      </w:r>
    </w:p>
    <w:p w:rsidR="00380842" w:rsidRPr="00380842" w:rsidRDefault="00136F27" w:rsidP="00380842">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380842" w:rsidP="00380842">
      <w:pPr>
        <w:pStyle w:val="Heading2"/>
        <w:rPr>
          <w:lang w:eastAsia="zh-CN"/>
        </w:rPr>
      </w:pPr>
      <w:r>
        <w:rPr>
          <w:lang w:val="en-US" w:eastAsia="zh-CN"/>
        </w:rPr>
        <w:t xml:space="preserve">2.1 </w:t>
      </w:r>
      <w:r w:rsidR="003845B4">
        <w:rPr>
          <w:lang w:eastAsia="zh-CN"/>
        </w:rPr>
        <w:t>R</w:t>
      </w:r>
      <w:r>
        <w:rPr>
          <w:lang w:eastAsia="zh-CN"/>
        </w:rPr>
        <w:t>ank adaptation</w:t>
      </w:r>
    </w:p>
    <w:p w:rsidR="00181BC4" w:rsidRDefault="00380842"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The ultimate intention of introducing this feature is to allow one of the uplink carriers which has a larger bandwidth to make full use of two concurrent transmitters at UE side. This is enabled by Case 2 where both transmitters are active. So the target to have the agreement is to ensure the UE supporting UL Tx switching shall activate the two transmitters for the carrier, no matter via 2-layer UL-MIMO transmission, or even single-layer transmission.</w:t>
      </w:r>
      <w:r w:rsidR="007D2144">
        <w:rPr>
          <w:rFonts w:eastAsia="宋体"/>
          <w:bCs/>
          <w:sz w:val="21"/>
          <w:szCs w:val="21"/>
          <w:lang w:val="en-GB" w:eastAsia="zh-CN"/>
        </w:rPr>
        <w:t xml:space="preserve"> </w:t>
      </w:r>
    </w:p>
    <w:p w:rsidR="00EA5AED" w:rsidRDefault="00380842"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But during the previous discussions</w:t>
      </w:r>
      <w:r w:rsidR="00DD1A2E">
        <w:rPr>
          <w:rFonts w:eastAsia="宋体"/>
          <w:bCs/>
          <w:sz w:val="21"/>
          <w:szCs w:val="21"/>
          <w:lang w:val="en-GB" w:eastAsia="zh-CN"/>
        </w:rPr>
        <w:t xml:space="preserve">, confusions popped up on single-layer transmission. </w:t>
      </w:r>
      <w:r w:rsidR="007D2144">
        <w:rPr>
          <w:rFonts w:eastAsia="宋体"/>
          <w:bCs/>
          <w:sz w:val="21"/>
          <w:szCs w:val="21"/>
          <w:lang w:val="en-GB" w:eastAsia="zh-CN"/>
        </w:rPr>
        <w:t xml:space="preserve">Actually, even for single-layer transmission in Case 2, there is an assumption that there are two antenna ports configured, </w:t>
      </w:r>
      <w:r w:rsidR="00EA5AED">
        <w:rPr>
          <w:rFonts w:eastAsia="宋体"/>
          <w:bCs/>
          <w:sz w:val="21"/>
          <w:szCs w:val="21"/>
          <w:lang w:val="en-GB" w:eastAsia="zh-CN"/>
        </w:rPr>
        <w:t xml:space="preserve">and single layer is mapped onto two antenna ports via a certain TPMI, </w:t>
      </w:r>
      <w:r w:rsidR="007D2144">
        <w:rPr>
          <w:rFonts w:eastAsia="宋体"/>
          <w:bCs/>
          <w:sz w:val="21"/>
          <w:szCs w:val="21"/>
          <w:lang w:val="en-GB" w:eastAsia="zh-CN"/>
        </w:rPr>
        <w:t>and of course, so does 2-layer transmission in Case 2</w:t>
      </w:r>
      <w:r w:rsidR="00EA5AED">
        <w:rPr>
          <w:rFonts w:eastAsia="宋体"/>
          <w:bCs/>
          <w:sz w:val="21"/>
          <w:szCs w:val="21"/>
          <w:lang w:val="en-GB" w:eastAsia="zh-CN"/>
        </w:rPr>
        <w:t xml:space="preserve"> where two layers are mapped onto two antenna ports via a certain TPMI</w:t>
      </w:r>
      <w:r w:rsidR="007D2144">
        <w:rPr>
          <w:rFonts w:eastAsia="宋体"/>
          <w:bCs/>
          <w:sz w:val="21"/>
          <w:szCs w:val="21"/>
          <w:lang w:val="en-GB" w:eastAsia="zh-CN"/>
        </w:rPr>
        <w:t>. So the key is that two antenna ports are configured in Case 2.</w:t>
      </w:r>
    </w:p>
    <w:p w:rsidR="00EA5AED" w:rsidRPr="00E66D6A" w:rsidRDefault="00EA5AED" w:rsidP="009B2891">
      <w:pPr>
        <w:pStyle w:val="BodyText"/>
        <w:tabs>
          <w:tab w:val="num" w:pos="226"/>
          <w:tab w:val="num" w:pos="284"/>
          <w:tab w:val="left" w:pos="5103"/>
        </w:tabs>
        <w:snapToGrid w:val="0"/>
        <w:rPr>
          <w:rFonts w:eastAsia="宋体"/>
          <w:b/>
          <w:bCs/>
          <w:sz w:val="21"/>
          <w:szCs w:val="21"/>
          <w:lang w:val="en-GB" w:eastAsia="zh-CN"/>
        </w:rPr>
      </w:pPr>
      <w:r w:rsidRPr="00E66D6A">
        <w:rPr>
          <w:rFonts w:eastAsia="宋体"/>
          <w:b/>
          <w:bCs/>
          <w:sz w:val="21"/>
          <w:szCs w:val="21"/>
          <w:lang w:val="en-GB" w:eastAsia="zh-CN"/>
        </w:rPr>
        <w:t xml:space="preserve">Observation 1: Two antenna ports should be configured in Case 2, </w:t>
      </w:r>
      <w:r w:rsidR="00C04F86" w:rsidRPr="00E66D6A">
        <w:rPr>
          <w:rFonts w:eastAsia="宋体"/>
          <w:b/>
          <w:bCs/>
          <w:sz w:val="21"/>
          <w:szCs w:val="21"/>
          <w:lang w:val="en-GB" w:eastAsia="zh-CN"/>
        </w:rPr>
        <w:t xml:space="preserve">where either </w:t>
      </w:r>
      <w:r w:rsidRPr="00E66D6A">
        <w:rPr>
          <w:rFonts w:eastAsia="宋体"/>
          <w:b/>
          <w:bCs/>
          <w:sz w:val="21"/>
          <w:szCs w:val="21"/>
          <w:lang w:val="en-GB" w:eastAsia="zh-CN"/>
        </w:rPr>
        <w:t>two-</w:t>
      </w:r>
      <w:r w:rsidR="00C04F86" w:rsidRPr="00E66D6A">
        <w:rPr>
          <w:rFonts w:eastAsia="宋体"/>
          <w:b/>
          <w:bCs/>
          <w:sz w:val="21"/>
          <w:szCs w:val="21"/>
          <w:lang w:val="en-GB" w:eastAsia="zh-CN"/>
        </w:rPr>
        <w:t>layer or single-layer data is mapped onto two antenna ports.</w:t>
      </w:r>
    </w:p>
    <w:p w:rsidR="00380842" w:rsidRDefault="007D2144"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 xml:space="preserve">In order to avoid misunderstanding, the agreement can be further clarified that it is mandated for the UE supporting UL Tx switching that two antenna-port transmission shall be supported, and the texts captured into specs related to rank adaptation should be based on the clarification. </w:t>
      </w: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007D2144">
        <w:rPr>
          <w:rFonts w:eastAsia="宋体"/>
          <w:b/>
          <w:bCs/>
          <w:sz w:val="21"/>
          <w:szCs w:val="21"/>
          <w:lang w:val="en-GB" w:eastAsia="zh-CN"/>
        </w:rPr>
        <w:t>1</w:t>
      </w:r>
      <w:r w:rsidRPr="009C0ACA">
        <w:rPr>
          <w:rFonts w:eastAsia="宋体"/>
          <w:b/>
          <w:bCs/>
          <w:sz w:val="21"/>
          <w:szCs w:val="21"/>
          <w:lang w:val="en-GB" w:eastAsia="zh-CN"/>
        </w:rPr>
        <w:t>:</w:t>
      </w:r>
      <w:r w:rsidR="007D2144">
        <w:rPr>
          <w:rFonts w:eastAsia="宋体"/>
          <w:b/>
          <w:bCs/>
          <w:sz w:val="21"/>
          <w:szCs w:val="21"/>
          <w:lang w:val="en-GB" w:eastAsia="zh-CN"/>
        </w:rPr>
        <w:t xml:space="preserve"> RAN4 clarify that f</w:t>
      </w:r>
      <w:r w:rsidR="007D2144" w:rsidRPr="007D2144">
        <w:rPr>
          <w:rFonts w:eastAsia="宋体"/>
          <w:b/>
          <w:bCs/>
          <w:sz w:val="21"/>
          <w:szCs w:val="21"/>
          <w:lang w:val="en-GB" w:eastAsia="zh-CN"/>
        </w:rPr>
        <w:t>or UE supporting UL Tx switchi</w:t>
      </w:r>
      <w:r w:rsidR="007D2144">
        <w:rPr>
          <w:rFonts w:eastAsia="宋体"/>
          <w:b/>
          <w:bCs/>
          <w:sz w:val="21"/>
          <w:szCs w:val="21"/>
          <w:lang w:val="en-GB" w:eastAsia="zh-CN"/>
        </w:rPr>
        <w:t>ng, it is mandated to support two antenna-port transmission on carrier 2</w:t>
      </w:r>
      <w:r w:rsidR="006E1171">
        <w:rPr>
          <w:rFonts w:eastAsia="宋体"/>
          <w:b/>
          <w:bCs/>
          <w:sz w:val="21"/>
          <w:szCs w:val="21"/>
          <w:lang w:val="en-GB" w:eastAsia="zh-CN"/>
        </w:rPr>
        <w:t xml:space="preserve">, </w:t>
      </w:r>
      <w:r w:rsidR="008B0C10">
        <w:rPr>
          <w:rFonts w:eastAsia="宋体"/>
          <w:b/>
          <w:bCs/>
          <w:sz w:val="21"/>
          <w:szCs w:val="21"/>
          <w:lang w:val="en-GB" w:eastAsia="zh-CN"/>
        </w:rPr>
        <w:t xml:space="preserve">and </w:t>
      </w:r>
      <w:r w:rsidR="006E1171">
        <w:rPr>
          <w:rFonts w:eastAsia="宋体"/>
          <w:b/>
          <w:bCs/>
          <w:sz w:val="21"/>
          <w:szCs w:val="21"/>
          <w:lang w:val="en-GB" w:eastAsia="zh-CN"/>
        </w:rPr>
        <w:t xml:space="preserve">whether to map 2-layer or single-layer </w:t>
      </w:r>
      <w:r w:rsidR="00281D62">
        <w:rPr>
          <w:rFonts w:eastAsia="宋体"/>
          <w:b/>
          <w:bCs/>
          <w:sz w:val="21"/>
          <w:szCs w:val="21"/>
          <w:lang w:val="en-GB" w:eastAsia="zh-CN"/>
        </w:rPr>
        <w:t>data on</w:t>
      </w:r>
      <w:r w:rsidR="006E1171">
        <w:rPr>
          <w:rFonts w:eastAsia="宋体"/>
          <w:b/>
          <w:bCs/>
          <w:sz w:val="21"/>
          <w:szCs w:val="21"/>
          <w:lang w:val="en-GB" w:eastAsia="zh-CN"/>
        </w:rPr>
        <w:t>to two antenna port</w:t>
      </w:r>
      <w:r w:rsidR="00D50B51">
        <w:rPr>
          <w:rFonts w:eastAsia="宋体"/>
          <w:b/>
          <w:bCs/>
          <w:sz w:val="21"/>
          <w:szCs w:val="21"/>
          <w:lang w:val="en-GB" w:eastAsia="zh-CN"/>
        </w:rPr>
        <w:t>s</w:t>
      </w:r>
      <w:r w:rsidR="006E1171">
        <w:rPr>
          <w:rFonts w:eastAsia="宋体"/>
          <w:b/>
          <w:bCs/>
          <w:sz w:val="21"/>
          <w:szCs w:val="21"/>
          <w:lang w:val="en-GB" w:eastAsia="zh-CN"/>
        </w:rPr>
        <w:t xml:space="preserve"> </w:t>
      </w:r>
      <w:r w:rsidR="007D2144" w:rsidRPr="007D2144">
        <w:rPr>
          <w:rFonts w:eastAsia="宋体"/>
          <w:b/>
          <w:bCs/>
          <w:sz w:val="21"/>
          <w:szCs w:val="21"/>
          <w:lang w:val="en-GB" w:eastAsia="zh-CN"/>
        </w:rPr>
        <w:t>follow</w:t>
      </w:r>
      <w:r w:rsidR="006E1171">
        <w:rPr>
          <w:rFonts w:eastAsia="宋体"/>
          <w:b/>
          <w:bCs/>
          <w:sz w:val="21"/>
          <w:szCs w:val="21"/>
          <w:lang w:val="en-GB" w:eastAsia="zh-CN"/>
        </w:rPr>
        <w:t>s</w:t>
      </w:r>
      <w:r w:rsidR="007D2144" w:rsidRPr="007D2144">
        <w:rPr>
          <w:rFonts w:eastAsia="宋体"/>
          <w:b/>
          <w:bCs/>
          <w:sz w:val="21"/>
          <w:szCs w:val="21"/>
          <w:lang w:val="en-GB" w:eastAsia="zh-CN"/>
        </w:rPr>
        <w:t xml:space="preserve"> the BS scheduling and rank adaptation (if rank adaptation is applicable)</w:t>
      </w:r>
      <w:r w:rsidRPr="009C0ACA">
        <w:rPr>
          <w:rFonts w:eastAsia="宋体"/>
          <w:b/>
          <w:bCs/>
          <w:sz w:val="21"/>
          <w:szCs w:val="21"/>
          <w:lang w:val="en-GB" w:eastAsia="zh-CN"/>
        </w:rPr>
        <w:t xml:space="preserve"> </w:t>
      </w:r>
      <w:r w:rsidR="007D2144">
        <w:rPr>
          <w:rFonts w:eastAsia="宋体"/>
          <w:b/>
          <w:bCs/>
          <w:sz w:val="21"/>
          <w:szCs w:val="21"/>
          <w:lang w:val="en-GB" w:eastAsia="zh-CN"/>
        </w:rPr>
        <w:t>and capture this into specs.</w:t>
      </w:r>
    </w:p>
    <w:p w:rsidR="00D50B51" w:rsidRPr="00D50B51" w:rsidRDefault="00D50B51" w:rsidP="00D50B51">
      <w:pPr>
        <w:pStyle w:val="Heading2"/>
        <w:rPr>
          <w:lang w:val="en-US" w:eastAsia="zh-CN"/>
        </w:rPr>
      </w:pPr>
      <w:r>
        <w:rPr>
          <w:lang w:val="en-US" w:eastAsia="zh-CN"/>
        </w:rPr>
        <w:t>2.2 Power class</w:t>
      </w:r>
    </w:p>
    <w:p w:rsidR="00D50B51" w:rsidRDefault="00D50B51" w:rsidP="009C0ACA">
      <w:pPr>
        <w:pStyle w:val="BodyText"/>
        <w:tabs>
          <w:tab w:val="num" w:pos="226"/>
          <w:tab w:val="num" w:pos="284"/>
          <w:tab w:val="left" w:pos="5103"/>
        </w:tabs>
        <w:snapToGrid w:val="0"/>
        <w:rPr>
          <w:rFonts w:eastAsia="宋体"/>
          <w:bCs/>
          <w:sz w:val="21"/>
          <w:szCs w:val="21"/>
          <w:lang w:val="en-GB" w:eastAsia="zh-CN"/>
        </w:rPr>
      </w:pPr>
      <w:r w:rsidRPr="00D50B51">
        <w:rPr>
          <w:rFonts w:eastAsia="宋体"/>
          <w:bCs/>
          <w:sz w:val="21"/>
          <w:szCs w:val="21"/>
          <w:lang w:val="en-GB" w:eastAsia="zh-CN"/>
        </w:rPr>
        <w:t xml:space="preserve">The </w:t>
      </w:r>
      <w:r>
        <w:rPr>
          <w:rFonts w:eastAsia="宋体"/>
          <w:bCs/>
          <w:sz w:val="21"/>
          <w:szCs w:val="21"/>
          <w:lang w:val="en-GB" w:eastAsia="zh-CN"/>
        </w:rPr>
        <w:t xml:space="preserve">original agreement on power class indicates that </w:t>
      </w:r>
      <w:r>
        <w:rPr>
          <w:rFonts w:eastAsia="宋体" w:hint="eastAsia"/>
          <w:bCs/>
          <w:sz w:val="21"/>
          <w:szCs w:val="21"/>
          <w:lang w:val="en-GB" w:eastAsia="zh-CN"/>
        </w:rPr>
        <w:t xml:space="preserve">the </w:t>
      </w:r>
      <w:r>
        <w:rPr>
          <w:rFonts w:eastAsia="宋体"/>
          <w:bCs/>
          <w:sz w:val="21"/>
          <w:szCs w:val="21"/>
          <w:lang w:val="en-GB" w:eastAsia="zh-CN"/>
        </w:rPr>
        <w:t>p</w:t>
      </w:r>
      <w:r w:rsidRPr="00D50B51">
        <w:rPr>
          <w:rFonts w:eastAsia="宋体"/>
          <w:bCs/>
          <w:sz w:val="21"/>
          <w:szCs w:val="21"/>
          <w:lang w:val="en-GB" w:eastAsia="zh-CN"/>
        </w:rPr>
        <w:t xml:space="preserve">ower class declaration will </w:t>
      </w:r>
      <w:r>
        <w:rPr>
          <w:rFonts w:eastAsia="宋体"/>
          <w:bCs/>
          <w:sz w:val="21"/>
          <w:szCs w:val="21"/>
          <w:lang w:val="en-GB" w:eastAsia="zh-CN"/>
        </w:rPr>
        <w:t>not</w:t>
      </w:r>
      <w:r w:rsidRPr="00D50B51">
        <w:rPr>
          <w:rFonts w:eastAsia="宋体"/>
          <w:bCs/>
          <w:sz w:val="21"/>
          <w:szCs w:val="21"/>
          <w:lang w:val="en-GB" w:eastAsia="zh-CN"/>
        </w:rPr>
        <w:t xml:space="preserve"> be changed between case 1 and case 2</w:t>
      </w:r>
      <w:r>
        <w:rPr>
          <w:rFonts w:eastAsia="宋体"/>
          <w:bCs/>
          <w:sz w:val="21"/>
          <w:szCs w:val="21"/>
          <w:lang w:val="en-GB" w:eastAsia="zh-CN"/>
        </w:rPr>
        <w:t xml:space="preserve">. </w:t>
      </w:r>
      <w:r w:rsidR="00F64569">
        <w:rPr>
          <w:rFonts w:eastAsia="宋体"/>
          <w:bCs/>
          <w:sz w:val="21"/>
          <w:szCs w:val="21"/>
          <w:lang w:val="en-GB" w:eastAsia="zh-CN"/>
        </w:rPr>
        <w:t>Suppose that power class declaration for case 1 is PC</w:t>
      </w:r>
      <w:r w:rsidR="00F64569" w:rsidRPr="00E66D6A">
        <w:rPr>
          <w:rFonts w:eastAsia="宋体"/>
          <w:bCs/>
          <w:sz w:val="21"/>
          <w:szCs w:val="21"/>
          <w:vertAlign w:val="subscript"/>
          <w:lang w:val="en-GB" w:eastAsia="zh-CN"/>
        </w:rPr>
        <w:t>A</w:t>
      </w:r>
      <w:r w:rsidR="00F64569">
        <w:rPr>
          <w:rFonts w:eastAsia="宋体"/>
          <w:bCs/>
          <w:sz w:val="21"/>
          <w:szCs w:val="21"/>
          <w:lang w:val="en-GB" w:eastAsia="zh-CN"/>
        </w:rPr>
        <w:t>, and power class declaration for case 2 is PC</w:t>
      </w:r>
      <w:r w:rsidR="00F64569" w:rsidRPr="00E66D6A">
        <w:rPr>
          <w:rFonts w:eastAsia="宋体"/>
          <w:bCs/>
          <w:sz w:val="21"/>
          <w:szCs w:val="21"/>
          <w:vertAlign w:val="subscript"/>
          <w:lang w:val="en-GB" w:eastAsia="zh-CN"/>
        </w:rPr>
        <w:t>B</w:t>
      </w:r>
      <w:r w:rsidR="00F64569">
        <w:rPr>
          <w:rFonts w:eastAsia="宋体"/>
          <w:bCs/>
          <w:sz w:val="21"/>
          <w:szCs w:val="21"/>
          <w:lang w:val="en-GB" w:eastAsia="zh-CN"/>
        </w:rPr>
        <w:t>, then t</w:t>
      </w:r>
      <w:r>
        <w:rPr>
          <w:rFonts w:eastAsia="宋体"/>
          <w:bCs/>
          <w:sz w:val="21"/>
          <w:szCs w:val="21"/>
          <w:lang w:val="en-GB" w:eastAsia="zh-CN"/>
        </w:rPr>
        <w:t xml:space="preserve">here could be two </w:t>
      </w:r>
      <w:r w:rsidR="009E09D9">
        <w:rPr>
          <w:rFonts w:eastAsia="宋体"/>
          <w:bCs/>
          <w:sz w:val="21"/>
          <w:szCs w:val="21"/>
          <w:lang w:val="en-GB" w:eastAsia="zh-CN"/>
        </w:rPr>
        <w:t>understandings on the agreement</w:t>
      </w:r>
      <w:r>
        <w:rPr>
          <w:rFonts w:eastAsia="宋体"/>
          <w:bCs/>
          <w:sz w:val="21"/>
          <w:szCs w:val="21"/>
          <w:lang w:val="en-GB" w:eastAsia="zh-CN"/>
        </w:rPr>
        <w:t>:</w:t>
      </w:r>
    </w:p>
    <w:p w:rsidR="00D50B51" w:rsidRDefault="00E66D6A" w:rsidP="00D50B51">
      <w:pPr>
        <w:pStyle w:val="BodyText"/>
        <w:numPr>
          <w:ilvl w:val="0"/>
          <w:numId w:val="32"/>
        </w:numPr>
        <w:tabs>
          <w:tab w:val="num" w:pos="284"/>
          <w:tab w:val="left" w:pos="5103"/>
        </w:tabs>
        <w:snapToGrid w:val="0"/>
        <w:rPr>
          <w:rFonts w:eastAsia="宋体"/>
          <w:bCs/>
          <w:sz w:val="21"/>
          <w:szCs w:val="21"/>
          <w:lang w:val="en-GB" w:eastAsia="zh-CN"/>
        </w:rPr>
      </w:pPr>
      <w:r>
        <w:rPr>
          <w:rFonts w:eastAsia="宋体"/>
          <w:bCs/>
          <w:sz w:val="21"/>
          <w:szCs w:val="21"/>
          <w:lang w:val="en-GB" w:eastAsia="zh-CN"/>
        </w:rPr>
        <w:t>PC</w:t>
      </w:r>
      <w:r w:rsidRPr="00E66D6A">
        <w:rPr>
          <w:rFonts w:eastAsia="宋体"/>
          <w:bCs/>
          <w:sz w:val="21"/>
          <w:szCs w:val="21"/>
          <w:vertAlign w:val="subscript"/>
          <w:lang w:val="en-GB" w:eastAsia="zh-CN"/>
        </w:rPr>
        <w:t>A</w:t>
      </w:r>
      <w:r>
        <w:rPr>
          <w:rFonts w:eastAsia="宋体"/>
          <w:bCs/>
          <w:sz w:val="21"/>
          <w:szCs w:val="21"/>
          <w:lang w:val="en-GB" w:eastAsia="zh-CN"/>
        </w:rPr>
        <w:t xml:space="preserve"> does not have to be the same as PC</w:t>
      </w:r>
      <w:r>
        <w:rPr>
          <w:rFonts w:eastAsia="宋体"/>
          <w:bCs/>
          <w:sz w:val="21"/>
          <w:szCs w:val="21"/>
          <w:vertAlign w:val="subscript"/>
          <w:lang w:val="en-GB" w:eastAsia="zh-CN"/>
        </w:rPr>
        <w:t>B</w:t>
      </w:r>
      <w:r>
        <w:rPr>
          <w:rFonts w:eastAsia="宋体"/>
          <w:bCs/>
          <w:sz w:val="21"/>
          <w:szCs w:val="21"/>
          <w:lang w:val="en-GB" w:eastAsia="zh-CN"/>
        </w:rPr>
        <w:t>.</w:t>
      </w:r>
      <w:r w:rsidR="00A47933">
        <w:rPr>
          <w:rFonts w:eastAsia="宋体"/>
          <w:bCs/>
          <w:sz w:val="21"/>
          <w:szCs w:val="21"/>
          <w:lang w:val="en-GB" w:eastAsia="zh-CN"/>
        </w:rPr>
        <w:t xml:space="preserve"> </w:t>
      </w:r>
      <w:r w:rsidR="00D50B51">
        <w:rPr>
          <w:rFonts w:eastAsia="宋体"/>
          <w:bCs/>
          <w:sz w:val="21"/>
          <w:szCs w:val="21"/>
          <w:lang w:val="en-GB" w:eastAsia="zh-CN"/>
        </w:rPr>
        <w:t xml:space="preserve">The switching between Case 1 and Case 2 </w:t>
      </w:r>
      <w:r w:rsidR="00F64569">
        <w:rPr>
          <w:rFonts w:eastAsia="宋体"/>
          <w:bCs/>
          <w:sz w:val="21"/>
          <w:szCs w:val="21"/>
          <w:lang w:val="en-GB" w:eastAsia="zh-CN"/>
        </w:rPr>
        <w:t xml:space="preserve">itself </w:t>
      </w:r>
      <w:r w:rsidR="00D50B51">
        <w:rPr>
          <w:rFonts w:eastAsia="宋体"/>
          <w:bCs/>
          <w:sz w:val="21"/>
          <w:szCs w:val="21"/>
          <w:lang w:val="en-GB" w:eastAsia="zh-CN"/>
        </w:rPr>
        <w:t xml:space="preserve">does </w:t>
      </w:r>
      <w:r w:rsidR="00F64569">
        <w:rPr>
          <w:rFonts w:eastAsia="宋体"/>
          <w:bCs/>
          <w:sz w:val="21"/>
          <w:szCs w:val="21"/>
          <w:lang w:val="en-GB" w:eastAsia="zh-CN"/>
        </w:rPr>
        <w:t>neither</w:t>
      </w:r>
      <w:r w:rsidR="00D50B51">
        <w:rPr>
          <w:rFonts w:eastAsia="宋体"/>
          <w:bCs/>
          <w:sz w:val="21"/>
          <w:szCs w:val="21"/>
          <w:lang w:val="en-GB" w:eastAsia="zh-CN"/>
        </w:rPr>
        <w:t xml:space="preserve"> change the power class </w:t>
      </w:r>
      <w:r w:rsidR="00F64569">
        <w:rPr>
          <w:rFonts w:eastAsia="宋体"/>
          <w:bCs/>
          <w:sz w:val="21"/>
          <w:szCs w:val="21"/>
          <w:lang w:val="en-GB" w:eastAsia="zh-CN"/>
        </w:rPr>
        <w:t xml:space="preserve">declaration </w:t>
      </w:r>
      <w:r w:rsidR="00D50B51">
        <w:rPr>
          <w:rFonts w:eastAsia="宋体"/>
          <w:bCs/>
          <w:sz w:val="21"/>
          <w:szCs w:val="21"/>
          <w:lang w:val="en-GB" w:eastAsia="zh-CN"/>
        </w:rPr>
        <w:t>of case 1</w:t>
      </w:r>
      <w:r w:rsidR="00F64569">
        <w:rPr>
          <w:rFonts w:eastAsia="宋体"/>
          <w:bCs/>
          <w:sz w:val="21"/>
          <w:szCs w:val="21"/>
          <w:lang w:val="en-GB" w:eastAsia="zh-CN"/>
        </w:rPr>
        <w:t>,</w:t>
      </w:r>
      <w:r w:rsidR="00D50B51">
        <w:rPr>
          <w:rFonts w:eastAsia="宋体"/>
          <w:bCs/>
          <w:sz w:val="21"/>
          <w:szCs w:val="21"/>
          <w:lang w:val="en-GB" w:eastAsia="zh-CN"/>
        </w:rPr>
        <w:t xml:space="preserve"> </w:t>
      </w:r>
      <w:r w:rsidR="00F64569">
        <w:rPr>
          <w:rFonts w:eastAsia="宋体"/>
          <w:bCs/>
          <w:sz w:val="21"/>
          <w:szCs w:val="21"/>
          <w:lang w:val="en-GB" w:eastAsia="zh-CN"/>
        </w:rPr>
        <w:t>n</w:t>
      </w:r>
      <w:r w:rsidR="00D50B51">
        <w:rPr>
          <w:rFonts w:eastAsia="宋体"/>
          <w:bCs/>
          <w:sz w:val="21"/>
          <w:szCs w:val="21"/>
          <w:lang w:val="en-GB" w:eastAsia="zh-CN"/>
        </w:rPr>
        <w:t xml:space="preserve">or case 2. This means that in </w:t>
      </w:r>
      <w:r w:rsidR="00F64569">
        <w:rPr>
          <w:rFonts w:eastAsia="宋体"/>
          <w:bCs/>
          <w:sz w:val="21"/>
          <w:szCs w:val="21"/>
          <w:lang w:val="en-GB" w:eastAsia="zh-CN"/>
        </w:rPr>
        <w:t>C</w:t>
      </w:r>
      <w:r w:rsidR="00D50B51">
        <w:rPr>
          <w:rFonts w:eastAsia="宋体"/>
          <w:bCs/>
          <w:sz w:val="21"/>
          <w:szCs w:val="21"/>
          <w:lang w:val="en-GB" w:eastAsia="zh-CN"/>
        </w:rPr>
        <w:t>ase 1,</w:t>
      </w:r>
      <w:r>
        <w:rPr>
          <w:rFonts w:eastAsia="宋体"/>
          <w:bCs/>
          <w:sz w:val="21"/>
          <w:szCs w:val="21"/>
          <w:lang w:val="en-GB" w:eastAsia="zh-CN"/>
        </w:rPr>
        <w:t xml:space="preserve"> power class declaration </w:t>
      </w:r>
      <w:r w:rsidR="00F64569">
        <w:rPr>
          <w:rFonts w:eastAsia="宋体"/>
          <w:bCs/>
          <w:sz w:val="21"/>
          <w:szCs w:val="21"/>
          <w:lang w:val="en-GB" w:eastAsia="zh-CN"/>
        </w:rPr>
        <w:t>as PC</w:t>
      </w:r>
      <w:r w:rsidR="00F64569" w:rsidRPr="00E66D6A">
        <w:rPr>
          <w:rFonts w:eastAsia="宋体"/>
          <w:bCs/>
          <w:sz w:val="21"/>
          <w:szCs w:val="21"/>
          <w:vertAlign w:val="subscript"/>
          <w:lang w:val="en-GB" w:eastAsia="zh-CN"/>
        </w:rPr>
        <w:t>A</w:t>
      </w:r>
      <w:r w:rsidR="00F64569">
        <w:rPr>
          <w:rFonts w:eastAsia="宋体"/>
          <w:bCs/>
          <w:sz w:val="21"/>
          <w:szCs w:val="21"/>
          <w:lang w:val="en-GB" w:eastAsia="zh-CN"/>
        </w:rPr>
        <w:t xml:space="preserve"> </w:t>
      </w:r>
      <w:r>
        <w:rPr>
          <w:rFonts w:eastAsia="宋体"/>
          <w:bCs/>
          <w:sz w:val="21"/>
          <w:szCs w:val="21"/>
          <w:lang w:val="en-GB" w:eastAsia="zh-CN"/>
        </w:rPr>
        <w:t>is maintained before and after switching</w:t>
      </w:r>
      <w:r w:rsidR="00F64569">
        <w:rPr>
          <w:rFonts w:eastAsia="宋体"/>
          <w:bCs/>
          <w:sz w:val="21"/>
          <w:szCs w:val="21"/>
          <w:lang w:val="en-GB" w:eastAsia="zh-CN"/>
        </w:rPr>
        <w:t>, and in Case 2 power class declaration as PC</w:t>
      </w:r>
      <w:r w:rsidR="00F64569">
        <w:rPr>
          <w:rFonts w:eastAsia="宋体"/>
          <w:bCs/>
          <w:sz w:val="21"/>
          <w:szCs w:val="21"/>
          <w:vertAlign w:val="subscript"/>
          <w:lang w:val="en-GB" w:eastAsia="zh-CN"/>
        </w:rPr>
        <w:t>B</w:t>
      </w:r>
      <w:r w:rsidR="00F64569">
        <w:rPr>
          <w:rFonts w:eastAsia="宋体"/>
          <w:bCs/>
          <w:sz w:val="21"/>
          <w:szCs w:val="21"/>
          <w:lang w:val="en-GB" w:eastAsia="zh-CN"/>
        </w:rPr>
        <w:t xml:space="preserve"> is the same before and after switching</w:t>
      </w:r>
      <w:r w:rsidR="00B8557E">
        <w:rPr>
          <w:rFonts w:eastAsia="宋体"/>
          <w:bCs/>
          <w:sz w:val="21"/>
          <w:szCs w:val="21"/>
          <w:lang w:val="en-GB" w:eastAsia="zh-CN"/>
        </w:rPr>
        <w:t>.</w:t>
      </w:r>
    </w:p>
    <w:p w:rsidR="00281D62" w:rsidRDefault="00E66D6A" w:rsidP="00D50B51">
      <w:pPr>
        <w:pStyle w:val="BodyText"/>
        <w:numPr>
          <w:ilvl w:val="0"/>
          <w:numId w:val="32"/>
        </w:numPr>
        <w:tabs>
          <w:tab w:val="num" w:pos="284"/>
          <w:tab w:val="left" w:pos="5103"/>
        </w:tabs>
        <w:snapToGrid w:val="0"/>
        <w:rPr>
          <w:rFonts w:eastAsia="宋体"/>
          <w:bCs/>
          <w:sz w:val="21"/>
          <w:szCs w:val="21"/>
          <w:lang w:val="en-GB" w:eastAsia="zh-CN"/>
        </w:rPr>
      </w:pPr>
      <w:r>
        <w:rPr>
          <w:rFonts w:eastAsia="宋体"/>
          <w:bCs/>
          <w:sz w:val="21"/>
          <w:szCs w:val="21"/>
          <w:lang w:val="en-GB" w:eastAsia="zh-CN"/>
        </w:rPr>
        <w:t>Power class declaration is the same for both Case 1</w:t>
      </w:r>
      <w:r w:rsidR="005A3B65">
        <w:rPr>
          <w:rFonts w:eastAsia="宋体"/>
          <w:bCs/>
          <w:sz w:val="21"/>
          <w:szCs w:val="21"/>
          <w:lang w:val="en-GB" w:eastAsia="zh-CN"/>
        </w:rPr>
        <w:t xml:space="preserve"> and Case 2, i.e., PC</w:t>
      </w:r>
      <w:r w:rsidR="005A3B65" w:rsidRPr="00E66D6A">
        <w:rPr>
          <w:rFonts w:eastAsia="宋体"/>
          <w:bCs/>
          <w:sz w:val="21"/>
          <w:szCs w:val="21"/>
          <w:vertAlign w:val="subscript"/>
          <w:lang w:val="en-GB" w:eastAsia="zh-CN"/>
        </w:rPr>
        <w:t>A</w:t>
      </w:r>
      <w:r w:rsidR="005A3B65">
        <w:rPr>
          <w:rFonts w:eastAsia="宋体"/>
          <w:bCs/>
          <w:sz w:val="21"/>
          <w:szCs w:val="21"/>
          <w:lang w:val="en-GB" w:eastAsia="zh-CN"/>
        </w:rPr>
        <w:t xml:space="preserve"> =</w:t>
      </w:r>
      <w:r w:rsidR="005A3B65" w:rsidRPr="005A3B65">
        <w:rPr>
          <w:rFonts w:eastAsia="宋体"/>
          <w:bCs/>
          <w:sz w:val="21"/>
          <w:szCs w:val="21"/>
          <w:lang w:val="en-GB" w:eastAsia="zh-CN"/>
        </w:rPr>
        <w:t xml:space="preserve"> </w:t>
      </w:r>
      <w:r w:rsidR="005A3B65">
        <w:rPr>
          <w:rFonts w:eastAsia="宋体"/>
          <w:bCs/>
          <w:sz w:val="21"/>
          <w:szCs w:val="21"/>
          <w:lang w:val="en-GB" w:eastAsia="zh-CN"/>
        </w:rPr>
        <w:t>PC</w:t>
      </w:r>
      <w:r w:rsidR="005A3B65">
        <w:rPr>
          <w:rFonts w:eastAsia="宋体"/>
          <w:bCs/>
          <w:sz w:val="21"/>
          <w:szCs w:val="21"/>
          <w:vertAlign w:val="subscript"/>
          <w:lang w:val="en-GB" w:eastAsia="zh-CN"/>
        </w:rPr>
        <w:t>B</w:t>
      </w:r>
      <w:r w:rsidR="005A3B65">
        <w:rPr>
          <w:rFonts w:eastAsia="宋体"/>
          <w:bCs/>
          <w:sz w:val="21"/>
          <w:szCs w:val="21"/>
          <w:lang w:val="en-GB" w:eastAsia="zh-CN"/>
        </w:rPr>
        <w:t>.</w:t>
      </w:r>
      <w:r w:rsidR="00281D62">
        <w:rPr>
          <w:rFonts w:eastAsia="宋体"/>
          <w:bCs/>
          <w:sz w:val="21"/>
          <w:szCs w:val="21"/>
          <w:lang w:val="en-GB" w:eastAsia="zh-CN"/>
        </w:rPr>
        <w:t xml:space="preserve"> And it does not change before and after switching.</w:t>
      </w:r>
    </w:p>
    <w:p w:rsidR="00E66D6A" w:rsidRPr="0090434D" w:rsidRDefault="00281D62" w:rsidP="00281D62">
      <w:pPr>
        <w:pStyle w:val="BodyText"/>
        <w:tabs>
          <w:tab w:val="num" w:pos="284"/>
          <w:tab w:val="left" w:pos="5103"/>
        </w:tabs>
        <w:snapToGrid w:val="0"/>
        <w:rPr>
          <w:rFonts w:eastAsia="宋体"/>
          <w:b/>
          <w:bCs/>
          <w:sz w:val="21"/>
          <w:szCs w:val="21"/>
          <w:lang w:val="en-GB" w:eastAsia="zh-CN"/>
        </w:rPr>
      </w:pPr>
      <w:r w:rsidRPr="0090434D">
        <w:rPr>
          <w:rFonts w:eastAsia="宋体"/>
          <w:b/>
          <w:bCs/>
          <w:sz w:val="21"/>
          <w:szCs w:val="21"/>
          <w:lang w:val="en-GB" w:eastAsia="zh-CN"/>
        </w:rPr>
        <w:t>Propos</w:t>
      </w:r>
      <w:r w:rsidR="0090434D">
        <w:rPr>
          <w:rFonts w:eastAsia="宋体"/>
          <w:b/>
          <w:bCs/>
          <w:sz w:val="21"/>
          <w:szCs w:val="21"/>
          <w:lang w:val="en-GB" w:eastAsia="zh-CN"/>
        </w:rPr>
        <w:t xml:space="preserve">al 2: RAN4 clarify which of the </w:t>
      </w:r>
      <w:r w:rsidRPr="0090434D">
        <w:rPr>
          <w:rFonts w:eastAsia="宋体"/>
          <w:b/>
          <w:bCs/>
          <w:sz w:val="21"/>
          <w:szCs w:val="21"/>
          <w:lang w:val="en-GB" w:eastAsia="zh-CN"/>
        </w:rPr>
        <w:t>two understanding on the power class for UE supporting</w:t>
      </w:r>
      <w:r w:rsidR="0090434D" w:rsidRPr="0090434D">
        <w:rPr>
          <w:rFonts w:eastAsia="宋体"/>
          <w:b/>
          <w:bCs/>
          <w:sz w:val="21"/>
          <w:szCs w:val="21"/>
          <w:lang w:val="en-GB" w:eastAsia="zh-CN"/>
        </w:rPr>
        <w:t xml:space="preserve"> UL Tx switching and capture this into specs</w:t>
      </w:r>
      <w:r w:rsidR="00867841">
        <w:rPr>
          <w:rFonts w:eastAsia="宋体"/>
          <w:b/>
          <w:bCs/>
          <w:sz w:val="21"/>
          <w:szCs w:val="21"/>
          <w:lang w:val="en-GB" w:eastAsia="zh-CN"/>
        </w:rPr>
        <w:t>.</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observation and proposal</w:t>
      </w:r>
      <w:r w:rsidR="00867841">
        <w:rPr>
          <w:rFonts w:eastAsia="宋体"/>
          <w:bCs/>
          <w:sz w:val="21"/>
          <w:szCs w:val="21"/>
          <w:lang w:val="en-GB" w:eastAsia="zh-CN"/>
        </w:rPr>
        <w:t>s for clarifying the existing agreements on UL Tx switching:</w:t>
      </w:r>
    </w:p>
    <w:p w:rsidR="00867841" w:rsidRDefault="00867841" w:rsidP="009B2891">
      <w:pPr>
        <w:pStyle w:val="BodyText"/>
        <w:tabs>
          <w:tab w:val="num" w:pos="226"/>
          <w:tab w:val="num" w:pos="284"/>
          <w:tab w:val="left" w:pos="5103"/>
        </w:tabs>
        <w:snapToGrid w:val="0"/>
        <w:rPr>
          <w:rFonts w:eastAsia="宋体"/>
          <w:b/>
          <w:bCs/>
          <w:sz w:val="21"/>
          <w:szCs w:val="21"/>
          <w:lang w:val="en-GB" w:eastAsia="zh-CN"/>
        </w:rPr>
      </w:pPr>
      <w:r w:rsidRPr="00E66D6A">
        <w:rPr>
          <w:rFonts w:eastAsia="宋体"/>
          <w:b/>
          <w:bCs/>
          <w:sz w:val="21"/>
          <w:szCs w:val="21"/>
          <w:lang w:val="en-GB" w:eastAsia="zh-CN"/>
        </w:rPr>
        <w:t>Observation 1: Two antenna ports should be configured in Case 2, where either two-layer or single-layer data is mapped onto two antenna ports.</w:t>
      </w:r>
    </w:p>
    <w:p w:rsidR="009C0ACA" w:rsidRDefault="00867841" w:rsidP="00CA4C30">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w:t>
      </w:r>
      <w:r>
        <w:rPr>
          <w:rFonts w:eastAsia="宋体"/>
          <w:b/>
          <w:bCs/>
          <w:sz w:val="21"/>
          <w:szCs w:val="21"/>
          <w:lang w:val="en-GB" w:eastAsia="zh-CN"/>
        </w:rPr>
        <w:t xml:space="preserve"> RAN4 clarify that f</w:t>
      </w:r>
      <w:r w:rsidRPr="007D2144">
        <w:rPr>
          <w:rFonts w:eastAsia="宋体"/>
          <w:b/>
          <w:bCs/>
          <w:sz w:val="21"/>
          <w:szCs w:val="21"/>
          <w:lang w:val="en-GB" w:eastAsia="zh-CN"/>
        </w:rPr>
        <w:t>or UE supporting UL Tx switchi</w:t>
      </w:r>
      <w:r>
        <w:rPr>
          <w:rFonts w:eastAsia="宋体"/>
          <w:b/>
          <w:bCs/>
          <w:sz w:val="21"/>
          <w:szCs w:val="21"/>
          <w:lang w:val="en-GB" w:eastAsia="zh-CN"/>
        </w:rPr>
        <w:t xml:space="preserve">ng, it is mandated to support two antenna-port transmission on carrier 2, and whether to map 2-layer or single-layer data onto two antenna ports </w:t>
      </w:r>
      <w:r w:rsidRPr="007D2144">
        <w:rPr>
          <w:rFonts w:eastAsia="宋体"/>
          <w:b/>
          <w:bCs/>
          <w:sz w:val="21"/>
          <w:szCs w:val="21"/>
          <w:lang w:val="en-GB" w:eastAsia="zh-CN"/>
        </w:rPr>
        <w:t>follow</w:t>
      </w:r>
      <w:r>
        <w:rPr>
          <w:rFonts w:eastAsia="宋体"/>
          <w:b/>
          <w:bCs/>
          <w:sz w:val="21"/>
          <w:szCs w:val="21"/>
          <w:lang w:val="en-GB" w:eastAsia="zh-CN"/>
        </w:rPr>
        <w:t>s</w:t>
      </w:r>
      <w:r w:rsidRPr="007D2144">
        <w:rPr>
          <w:rFonts w:eastAsia="宋体"/>
          <w:b/>
          <w:bCs/>
          <w:sz w:val="21"/>
          <w:szCs w:val="21"/>
          <w:lang w:val="en-GB" w:eastAsia="zh-CN"/>
        </w:rPr>
        <w:t xml:space="preserve"> the BS scheduling and rank adaptation (if rank adaptation is applicable)</w:t>
      </w:r>
      <w:r w:rsidRPr="009C0ACA">
        <w:rPr>
          <w:rFonts w:eastAsia="宋体"/>
          <w:b/>
          <w:bCs/>
          <w:sz w:val="21"/>
          <w:szCs w:val="21"/>
          <w:lang w:val="en-GB" w:eastAsia="zh-CN"/>
        </w:rPr>
        <w:t xml:space="preserve"> </w:t>
      </w:r>
      <w:r>
        <w:rPr>
          <w:rFonts w:eastAsia="宋体"/>
          <w:b/>
          <w:bCs/>
          <w:sz w:val="21"/>
          <w:szCs w:val="21"/>
          <w:lang w:val="en-GB" w:eastAsia="zh-CN"/>
        </w:rPr>
        <w:t>and capture this into specs.</w:t>
      </w:r>
    </w:p>
    <w:p w:rsidR="00867841" w:rsidRPr="00867841" w:rsidRDefault="00867841" w:rsidP="00867841">
      <w:pPr>
        <w:pStyle w:val="BodyText"/>
        <w:tabs>
          <w:tab w:val="num" w:pos="284"/>
          <w:tab w:val="left" w:pos="5103"/>
        </w:tabs>
        <w:snapToGrid w:val="0"/>
        <w:rPr>
          <w:rFonts w:eastAsia="宋体"/>
          <w:b/>
          <w:bCs/>
          <w:sz w:val="21"/>
          <w:szCs w:val="21"/>
          <w:lang w:val="en-GB" w:eastAsia="zh-CN"/>
        </w:rPr>
      </w:pPr>
      <w:r w:rsidRPr="0090434D">
        <w:rPr>
          <w:rFonts w:eastAsia="宋体"/>
          <w:b/>
          <w:bCs/>
          <w:sz w:val="21"/>
          <w:szCs w:val="21"/>
          <w:lang w:val="en-GB" w:eastAsia="zh-CN"/>
        </w:rPr>
        <w:t>Propos</w:t>
      </w:r>
      <w:r>
        <w:rPr>
          <w:rFonts w:eastAsia="宋体"/>
          <w:b/>
          <w:bCs/>
          <w:sz w:val="21"/>
          <w:szCs w:val="21"/>
          <w:lang w:val="en-GB" w:eastAsia="zh-CN"/>
        </w:rPr>
        <w:t xml:space="preserve">al 2: RAN4 clarify which of the </w:t>
      </w:r>
      <w:r w:rsidRPr="0090434D">
        <w:rPr>
          <w:rFonts w:eastAsia="宋体"/>
          <w:b/>
          <w:bCs/>
          <w:sz w:val="21"/>
          <w:szCs w:val="21"/>
          <w:lang w:val="en-GB" w:eastAsia="zh-CN"/>
        </w:rPr>
        <w:t>two understanding on the power class for UE supporting UL Tx switching and capture this into specs</w:t>
      </w:r>
      <w:r>
        <w:rPr>
          <w:rFonts w:eastAsia="宋体"/>
          <w:b/>
          <w:bCs/>
          <w:sz w:val="21"/>
          <w:szCs w:val="21"/>
          <w:lang w:val="en-GB" w:eastAsia="zh-CN"/>
        </w:rPr>
        <w:t>.</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183F7C" w:rsidRDefault="00D0160F" w:rsidP="009B2891">
      <w:pPr>
        <w:pStyle w:val="List2"/>
      </w:pPr>
      <w:r w:rsidRPr="00D0160F">
        <w:t>R</w:t>
      </w:r>
      <w:r w:rsidR="00EB1036">
        <w:t xml:space="preserve">4-2002815 </w:t>
      </w:r>
      <w:r w:rsidR="00EB1036" w:rsidRPr="00EB1036">
        <w:rPr>
          <w:lang w:val="en-US"/>
        </w:rPr>
        <w:t>Way fo</w:t>
      </w:r>
      <w:r w:rsidR="00EB1036">
        <w:rPr>
          <w:lang w:val="en-US"/>
        </w:rPr>
        <w:t xml:space="preserve">rward on RF requirements for Tx </w:t>
      </w:r>
      <w:r w:rsidR="00EB1036" w:rsidRPr="00EB1036">
        <w:rPr>
          <w:lang w:val="en-US"/>
        </w:rPr>
        <w:t>switching between two uplink carriers</w:t>
      </w:r>
      <w:r w:rsidR="00EB1036">
        <w:rPr>
          <w:lang w:val="en-US"/>
        </w:rPr>
        <w:t>, CTC etc.</w:t>
      </w:r>
    </w:p>
    <w:sectPr w:rsidR="00A208F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A71" w:rsidRDefault="00F20A71" w:rsidP="00E7784C">
      <w:r>
        <w:separator/>
      </w:r>
    </w:p>
  </w:endnote>
  <w:endnote w:type="continuationSeparator" w:id="0">
    <w:p w:rsidR="00F20A71" w:rsidRDefault="00F20A7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9C1EE9" w:rsidRPr="009C1EE9">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A71" w:rsidRDefault="00F20A71" w:rsidP="00E7784C">
      <w:r>
        <w:separator/>
      </w:r>
    </w:p>
  </w:footnote>
  <w:footnote w:type="continuationSeparator" w:id="0">
    <w:p w:rsidR="00F20A71" w:rsidRDefault="00F20A71"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C5F30"/>
    <w:multiLevelType w:val="hybridMultilevel"/>
    <w:tmpl w:val="084A7E6A"/>
    <w:lvl w:ilvl="0" w:tplc="085ACE1A">
      <w:start w:val="1"/>
      <w:numFmt w:val="bullet"/>
      <w:lvlText w:val="•"/>
      <w:lvlJc w:val="left"/>
      <w:pPr>
        <w:tabs>
          <w:tab w:val="num" w:pos="720"/>
        </w:tabs>
        <w:ind w:left="720" w:hanging="360"/>
      </w:pPr>
      <w:rPr>
        <w:rFonts w:ascii="Arial" w:hAnsi="Arial" w:hint="default"/>
      </w:rPr>
    </w:lvl>
    <w:lvl w:ilvl="1" w:tplc="4ECECD06">
      <w:start w:val="39"/>
      <w:numFmt w:val="bullet"/>
      <w:lvlText w:val="–"/>
      <w:lvlJc w:val="left"/>
      <w:pPr>
        <w:tabs>
          <w:tab w:val="num" w:pos="1440"/>
        </w:tabs>
        <w:ind w:left="1440" w:hanging="360"/>
      </w:pPr>
      <w:rPr>
        <w:rFonts w:ascii="Arial" w:hAnsi="Arial" w:hint="default"/>
      </w:rPr>
    </w:lvl>
    <w:lvl w:ilvl="2" w:tplc="17B61EC2">
      <w:start w:val="39"/>
      <w:numFmt w:val="bullet"/>
      <w:lvlText w:val="•"/>
      <w:lvlJc w:val="left"/>
      <w:pPr>
        <w:tabs>
          <w:tab w:val="num" w:pos="2160"/>
        </w:tabs>
        <w:ind w:left="2160" w:hanging="360"/>
      </w:pPr>
      <w:rPr>
        <w:rFonts w:ascii="Arial" w:hAnsi="Arial" w:hint="default"/>
      </w:rPr>
    </w:lvl>
    <w:lvl w:ilvl="3" w:tplc="69020684" w:tentative="1">
      <w:start w:val="1"/>
      <w:numFmt w:val="bullet"/>
      <w:lvlText w:val="•"/>
      <w:lvlJc w:val="left"/>
      <w:pPr>
        <w:tabs>
          <w:tab w:val="num" w:pos="2880"/>
        </w:tabs>
        <w:ind w:left="2880" w:hanging="360"/>
      </w:pPr>
      <w:rPr>
        <w:rFonts w:ascii="Arial" w:hAnsi="Arial" w:hint="default"/>
      </w:rPr>
    </w:lvl>
    <w:lvl w:ilvl="4" w:tplc="66A6661C" w:tentative="1">
      <w:start w:val="1"/>
      <w:numFmt w:val="bullet"/>
      <w:lvlText w:val="•"/>
      <w:lvlJc w:val="left"/>
      <w:pPr>
        <w:tabs>
          <w:tab w:val="num" w:pos="3600"/>
        </w:tabs>
        <w:ind w:left="3600" w:hanging="360"/>
      </w:pPr>
      <w:rPr>
        <w:rFonts w:ascii="Arial" w:hAnsi="Arial" w:hint="default"/>
      </w:rPr>
    </w:lvl>
    <w:lvl w:ilvl="5" w:tplc="BCD82348" w:tentative="1">
      <w:start w:val="1"/>
      <w:numFmt w:val="bullet"/>
      <w:lvlText w:val="•"/>
      <w:lvlJc w:val="left"/>
      <w:pPr>
        <w:tabs>
          <w:tab w:val="num" w:pos="4320"/>
        </w:tabs>
        <w:ind w:left="4320" w:hanging="360"/>
      </w:pPr>
      <w:rPr>
        <w:rFonts w:ascii="Arial" w:hAnsi="Arial" w:hint="default"/>
      </w:rPr>
    </w:lvl>
    <w:lvl w:ilvl="6" w:tplc="CFEAC970" w:tentative="1">
      <w:start w:val="1"/>
      <w:numFmt w:val="bullet"/>
      <w:lvlText w:val="•"/>
      <w:lvlJc w:val="left"/>
      <w:pPr>
        <w:tabs>
          <w:tab w:val="num" w:pos="5040"/>
        </w:tabs>
        <w:ind w:left="5040" w:hanging="360"/>
      </w:pPr>
      <w:rPr>
        <w:rFonts w:ascii="Arial" w:hAnsi="Arial" w:hint="default"/>
      </w:rPr>
    </w:lvl>
    <w:lvl w:ilvl="7" w:tplc="73F2A74C" w:tentative="1">
      <w:start w:val="1"/>
      <w:numFmt w:val="bullet"/>
      <w:lvlText w:val="•"/>
      <w:lvlJc w:val="left"/>
      <w:pPr>
        <w:tabs>
          <w:tab w:val="num" w:pos="5760"/>
        </w:tabs>
        <w:ind w:left="5760" w:hanging="360"/>
      </w:pPr>
      <w:rPr>
        <w:rFonts w:ascii="Arial" w:hAnsi="Arial" w:hint="default"/>
      </w:rPr>
    </w:lvl>
    <w:lvl w:ilvl="8" w:tplc="BB7AB7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805E3EE2"/>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546145"/>
    <w:multiLevelType w:val="hybridMultilevel"/>
    <w:tmpl w:val="39B2E0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A3097F"/>
    <w:multiLevelType w:val="hybridMultilevel"/>
    <w:tmpl w:val="1CF09C52"/>
    <w:lvl w:ilvl="0" w:tplc="8056E9C4">
      <w:start w:val="1"/>
      <w:numFmt w:val="bullet"/>
      <w:lvlText w:val="•"/>
      <w:lvlJc w:val="left"/>
      <w:pPr>
        <w:tabs>
          <w:tab w:val="num" w:pos="720"/>
        </w:tabs>
        <w:ind w:left="720" w:hanging="360"/>
      </w:pPr>
      <w:rPr>
        <w:rFonts w:ascii="Arial" w:hAnsi="Arial" w:hint="default"/>
      </w:rPr>
    </w:lvl>
    <w:lvl w:ilvl="1" w:tplc="8894F874">
      <w:start w:val="39"/>
      <w:numFmt w:val="bullet"/>
      <w:lvlText w:val="–"/>
      <w:lvlJc w:val="left"/>
      <w:pPr>
        <w:tabs>
          <w:tab w:val="num" w:pos="1440"/>
        </w:tabs>
        <w:ind w:left="1440" w:hanging="360"/>
      </w:pPr>
      <w:rPr>
        <w:rFonts w:ascii="Arial" w:hAnsi="Arial" w:hint="default"/>
      </w:rPr>
    </w:lvl>
    <w:lvl w:ilvl="2" w:tplc="05A25C46">
      <w:start w:val="39"/>
      <w:numFmt w:val="bullet"/>
      <w:lvlText w:val="•"/>
      <w:lvlJc w:val="left"/>
      <w:pPr>
        <w:tabs>
          <w:tab w:val="num" w:pos="2160"/>
        </w:tabs>
        <w:ind w:left="2160" w:hanging="360"/>
      </w:pPr>
      <w:rPr>
        <w:rFonts w:ascii="Arial" w:hAnsi="Arial" w:hint="default"/>
      </w:rPr>
    </w:lvl>
    <w:lvl w:ilvl="3" w:tplc="48B81276" w:tentative="1">
      <w:start w:val="1"/>
      <w:numFmt w:val="bullet"/>
      <w:lvlText w:val="•"/>
      <w:lvlJc w:val="left"/>
      <w:pPr>
        <w:tabs>
          <w:tab w:val="num" w:pos="2880"/>
        </w:tabs>
        <w:ind w:left="2880" w:hanging="360"/>
      </w:pPr>
      <w:rPr>
        <w:rFonts w:ascii="Arial" w:hAnsi="Arial" w:hint="default"/>
      </w:rPr>
    </w:lvl>
    <w:lvl w:ilvl="4" w:tplc="9F062352" w:tentative="1">
      <w:start w:val="1"/>
      <w:numFmt w:val="bullet"/>
      <w:lvlText w:val="•"/>
      <w:lvlJc w:val="left"/>
      <w:pPr>
        <w:tabs>
          <w:tab w:val="num" w:pos="3600"/>
        </w:tabs>
        <w:ind w:left="3600" w:hanging="360"/>
      </w:pPr>
      <w:rPr>
        <w:rFonts w:ascii="Arial" w:hAnsi="Arial" w:hint="default"/>
      </w:rPr>
    </w:lvl>
    <w:lvl w:ilvl="5" w:tplc="5C1ABDD2" w:tentative="1">
      <w:start w:val="1"/>
      <w:numFmt w:val="bullet"/>
      <w:lvlText w:val="•"/>
      <w:lvlJc w:val="left"/>
      <w:pPr>
        <w:tabs>
          <w:tab w:val="num" w:pos="4320"/>
        </w:tabs>
        <w:ind w:left="4320" w:hanging="360"/>
      </w:pPr>
      <w:rPr>
        <w:rFonts w:ascii="Arial" w:hAnsi="Arial" w:hint="default"/>
      </w:rPr>
    </w:lvl>
    <w:lvl w:ilvl="6" w:tplc="B574C348" w:tentative="1">
      <w:start w:val="1"/>
      <w:numFmt w:val="bullet"/>
      <w:lvlText w:val="•"/>
      <w:lvlJc w:val="left"/>
      <w:pPr>
        <w:tabs>
          <w:tab w:val="num" w:pos="5040"/>
        </w:tabs>
        <w:ind w:left="5040" w:hanging="360"/>
      </w:pPr>
      <w:rPr>
        <w:rFonts w:ascii="Arial" w:hAnsi="Arial" w:hint="default"/>
      </w:rPr>
    </w:lvl>
    <w:lvl w:ilvl="7" w:tplc="5D086EEC" w:tentative="1">
      <w:start w:val="1"/>
      <w:numFmt w:val="bullet"/>
      <w:lvlText w:val="•"/>
      <w:lvlJc w:val="left"/>
      <w:pPr>
        <w:tabs>
          <w:tab w:val="num" w:pos="5760"/>
        </w:tabs>
        <w:ind w:left="5760" w:hanging="360"/>
      </w:pPr>
      <w:rPr>
        <w:rFonts w:ascii="Arial" w:hAnsi="Arial" w:hint="default"/>
      </w:rPr>
    </w:lvl>
    <w:lvl w:ilvl="8" w:tplc="EB9EC51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20"/>
  </w:num>
  <w:num w:numId="4">
    <w:abstractNumId w:val="13"/>
  </w:num>
  <w:num w:numId="5">
    <w:abstractNumId w:val="16"/>
  </w:num>
  <w:num w:numId="6">
    <w:abstractNumId w:val="1"/>
  </w:num>
  <w:num w:numId="7">
    <w:abstractNumId w:val="21"/>
  </w:num>
  <w:num w:numId="8">
    <w:abstractNumId w:val="8"/>
  </w:num>
  <w:num w:numId="9">
    <w:abstractNumId w:val="6"/>
  </w:num>
  <w:num w:numId="10">
    <w:abstractNumId w:val="15"/>
  </w:num>
  <w:num w:numId="11">
    <w:abstractNumId w:val="2"/>
  </w:num>
  <w:num w:numId="12">
    <w:abstractNumId w:val="20"/>
  </w:num>
  <w:num w:numId="13">
    <w:abstractNumId w:val="20"/>
  </w:num>
  <w:num w:numId="14">
    <w:abstractNumId w:val="20"/>
  </w:num>
  <w:num w:numId="15">
    <w:abstractNumId w:val="11"/>
  </w:num>
  <w:num w:numId="16">
    <w:abstractNumId w:val="17"/>
  </w:num>
  <w:num w:numId="17">
    <w:abstractNumId w:val="20"/>
  </w:num>
  <w:num w:numId="18">
    <w:abstractNumId w:val="5"/>
  </w:num>
  <w:num w:numId="19">
    <w:abstractNumId w:val="9"/>
  </w:num>
  <w:num w:numId="20">
    <w:abstractNumId w:val="3"/>
  </w:num>
  <w:num w:numId="21">
    <w:abstractNumId w:val="10"/>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9"/>
  </w:num>
  <w:num w:numId="27">
    <w:abstractNumId w:val="23"/>
  </w:num>
  <w:num w:numId="28">
    <w:abstractNumId w:val="22"/>
  </w:num>
  <w:num w:numId="29">
    <w:abstractNumId w:val="14"/>
  </w:num>
  <w:num w:numId="30">
    <w:abstractNumId w:val="24"/>
  </w:num>
  <w:num w:numId="31">
    <w:abstractNumId w:val="0"/>
  </w:num>
  <w:num w:numId="3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43F3"/>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5B33"/>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1BC4"/>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1D62"/>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53B0"/>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42"/>
    <w:rsid w:val="00380868"/>
    <w:rsid w:val="00381751"/>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4D95"/>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3B65"/>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47E5A"/>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171"/>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2144"/>
    <w:rsid w:val="007D3259"/>
    <w:rsid w:val="007D5E3C"/>
    <w:rsid w:val="007E00BC"/>
    <w:rsid w:val="007E1228"/>
    <w:rsid w:val="007E13BE"/>
    <w:rsid w:val="007E30DD"/>
    <w:rsid w:val="007E47C7"/>
    <w:rsid w:val="007E599C"/>
    <w:rsid w:val="007E7106"/>
    <w:rsid w:val="007F1080"/>
    <w:rsid w:val="007F1665"/>
    <w:rsid w:val="007F1BAB"/>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841"/>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1A3"/>
    <w:rsid w:val="008A5BFE"/>
    <w:rsid w:val="008A5FEB"/>
    <w:rsid w:val="008A627D"/>
    <w:rsid w:val="008A6BBC"/>
    <w:rsid w:val="008B0C10"/>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34D"/>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1EE9"/>
    <w:rsid w:val="009C320E"/>
    <w:rsid w:val="009C4418"/>
    <w:rsid w:val="009C6CEA"/>
    <w:rsid w:val="009D3BD5"/>
    <w:rsid w:val="009D3F31"/>
    <w:rsid w:val="009D485D"/>
    <w:rsid w:val="009D6036"/>
    <w:rsid w:val="009D6D01"/>
    <w:rsid w:val="009E03C9"/>
    <w:rsid w:val="009E09D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47933"/>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BE5"/>
    <w:rsid w:val="00A92C47"/>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557E"/>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4F86"/>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5253"/>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90E"/>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0B51"/>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A2E"/>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66D6A"/>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5AED"/>
    <w:rsid w:val="00EA60F5"/>
    <w:rsid w:val="00EA67F1"/>
    <w:rsid w:val="00EA7D5D"/>
    <w:rsid w:val="00EB094C"/>
    <w:rsid w:val="00EB0B53"/>
    <w:rsid w:val="00EB0B6B"/>
    <w:rsid w:val="00EB1036"/>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A71"/>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4569"/>
    <w:rsid w:val="00F671F0"/>
    <w:rsid w:val="00F674D0"/>
    <w:rsid w:val="00F67E63"/>
    <w:rsid w:val="00F7065A"/>
    <w:rsid w:val="00F71845"/>
    <w:rsid w:val="00F74AA8"/>
    <w:rsid w:val="00F74D09"/>
    <w:rsid w:val="00F75643"/>
    <w:rsid w:val="00F765F8"/>
    <w:rsid w:val="00F776A2"/>
    <w:rsid w:val="00F81824"/>
    <w:rsid w:val="00F81EE2"/>
    <w:rsid w:val="00F84853"/>
    <w:rsid w:val="00F84DC6"/>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7756662">
      <w:bodyDiv w:val="1"/>
      <w:marLeft w:val="0"/>
      <w:marRight w:val="0"/>
      <w:marTop w:val="0"/>
      <w:marBottom w:val="0"/>
      <w:divBdr>
        <w:top w:val="none" w:sz="0" w:space="0" w:color="auto"/>
        <w:left w:val="none" w:sz="0" w:space="0" w:color="auto"/>
        <w:bottom w:val="none" w:sz="0" w:space="0" w:color="auto"/>
        <w:right w:val="none" w:sz="0" w:space="0" w:color="auto"/>
      </w:divBdr>
      <w:divsChild>
        <w:div w:id="1786004815">
          <w:marLeft w:val="547"/>
          <w:marRight w:val="0"/>
          <w:marTop w:val="115"/>
          <w:marBottom w:val="0"/>
          <w:divBdr>
            <w:top w:val="none" w:sz="0" w:space="0" w:color="auto"/>
            <w:left w:val="none" w:sz="0" w:space="0" w:color="auto"/>
            <w:bottom w:val="none" w:sz="0" w:space="0" w:color="auto"/>
            <w:right w:val="none" w:sz="0" w:space="0" w:color="auto"/>
          </w:divBdr>
        </w:div>
        <w:div w:id="1455782682">
          <w:marLeft w:val="1166"/>
          <w:marRight w:val="0"/>
          <w:marTop w:val="96"/>
          <w:marBottom w:val="0"/>
          <w:divBdr>
            <w:top w:val="none" w:sz="0" w:space="0" w:color="auto"/>
            <w:left w:val="none" w:sz="0" w:space="0" w:color="auto"/>
            <w:bottom w:val="none" w:sz="0" w:space="0" w:color="auto"/>
            <w:right w:val="none" w:sz="0" w:space="0" w:color="auto"/>
          </w:divBdr>
        </w:div>
        <w:div w:id="1371496156">
          <w:marLeft w:val="1800"/>
          <w:marRight w:val="0"/>
          <w:marTop w:val="86"/>
          <w:marBottom w:val="0"/>
          <w:divBdr>
            <w:top w:val="none" w:sz="0" w:space="0" w:color="auto"/>
            <w:left w:val="none" w:sz="0" w:space="0" w:color="auto"/>
            <w:bottom w:val="none" w:sz="0" w:space="0" w:color="auto"/>
            <w:right w:val="none" w:sz="0" w:space="0" w:color="auto"/>
          </w:divBdr>
        </w:div>
        <w:div w:id="1241132837">
          <w:marLeft w:val="1800"/>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4802970">
      <w:bodyDiv w:val="1"/>
      <w:marLeft w:val="0"/>
      <w:marRight w:val="0"/>
      <w:marTop w:val="0"/>
      <w:marBottom w:val="0"/>
      <w:divBdr>
        <w:top w:val="none" w:sz="0" w:space="0" w:color="auto"/>
        <w:left w:val="none" w:sz="0" w:space="0" w:color="auto"/>
        <w:bottom w:val="none" w:sz="0" w:space="0" w:color="auto"/>
        <w:right w:val="none" w:sz="0" w:space="0" w:color="auto"/>
      </w:divBdr>
      <w:divsChild>
        <w:div w:id="468866454">
          <w:marLeft w:val="547"/>
          <w:marRight w:val="0"/>
          <w:marTop w:val="96"/>
          <w:marBottom w:val="0"/>
          <w:divBdr>
            <w:top w:val="none" w:sz="0" w:space="0" w:color="auto"/>
            <w:left w:val="none" w:sz="0" w:space="0" w:color="auto"/>
            <w:bottom w:val="none" w:sz="0" w:space="0" w:color="auto"/>
            <w:right w:val="none" w:sz="0" w:space="0" w:color="auto"/>
          </w:divBdr>
        </w:div>
        <w:div w:id="443766665">
          <w:marLeft w:val="1166"/>
          <w:marRight w:val="0"/>
          <w:marTop w:val="86"/>
          <w:marBottom w:val="0"/>
          <w:divBdr>
            <w:top w:val="none" w:sz="0" w:space="0" w:color="auto"/>
            <w:left w:val="none" w:sz="0" w:space="0" w:color="auto"/>
            <w:bottom w:val="none" w:sz="0" w:space="0" w:color="auto"/>
            <w:right w:val="none" w:sz="0" w:space="0" w:color="auto"/>
          </w:divBdr>
        </w:div>
        <w:div w:id="284898046">
          <w:marLeft w:val="1800"/>
          <w:marRight w:val="0"/>
          <w:marTop w:val="7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6E794-D430-4F92-9BA0-2F88398B1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28</cp:revision>
  <cp:lastPrinted>2015-02-02T11:17:00Z</cp:lastPrinted>
  <dcterms:created xsi:type="dcterms:W3CDTF">2020-04-06T22:31:00Z</dcterms:created>
  <dcterms:modified xsi:type="dcterms:W3CDTF">2020-04-10T10:17:00Z</dcterms:modified>
</cp:coreProperties>
</file>